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79" w:rsidRPr="009433D7" w:rsidRDefault="00655379" w:rsidP="00655379">
      <w:pPr>
        <w:autoSpaceDE w:val="0"/>
        <w:autoSpaceDN w:val="0"/>
        <w:adjustRightInd w:val="0"/>
        <w:jc w:val="right"/>
        <w:rPr>
          <w:rFonts w:ascii="ＭＳ ゴシック" w:eastAsia="ＭＳ ゴシック" w:hAnsi="ＭＳ ゴシック" w:cs="MS-Mincho"/>
          <w:b/>
          <w:kern w:val="0"/>
          <w:sz w:val="32"/>
          <w:szCs w:val="32"/>
          <w:bdr w:val="single" w:sz="4" w:space="0" w:color="auto"/>
        </w:rPr>
      </w:pPr>
      <w:r w:rsidRPr="009433D7">
        <w:rPr>
          <w:rFonts w:ascii="ＭＳ ゴシック" w:eastAsia="ＭＳ ゴシック" w:hAnsi="ＭＳ ゴシック" w:cs="MS-Mincho" w:hint="eastAsia"/>
          <w:b/>
          <w:kern w:val="0"/>
          <w:sz w:val="32"/>
          <w:szCs w:val="32"/>
          <w:bdr w:val="single" w:sz="4" w:space="0" w:color="auto"/>
        </w:rPr>
        <w:t>資料</w:t>
      </w:r>
      <w:r w:rsidR="00B668E7">
        <w:rPr>
          <w:rFonts w:ascii="ＭＳ ゴシック" w:eastAsia="ＭＳ ゴシック" w:hAnsi="ＭＳ ゴシック" w:cs="MS-Mincho" w:hint="eastAsia"/>
          <w:b/>
          <w:kern w:val="0"/>
          <w:sz w:val="32"/>
          <w:szCs w:val="32"/>
          <w:bdr w:val="single" w:sz="4" w:space="0" w:color="auto"/>
        </w:rPr>
        <w:t>２</w:t>
      </w:r>
      <w:r w:rsidRPr="009433D7">
        <w:rPr>
          <w:rFonts w:ascii="ＭＳ ゴシック" w:eastAsia="ＭＳ ゴシック" w:hAnsi="ＭＳ ゴシック" w:cs="MS-Mincho" w:hint="eastAsia"/>
          <w:b/>
          <w:kern w:val="0"/>
          <w:sz w:val="32"/>
          <w:szCs w:val="32"/>
          <w:bdr w:val="single" w:sz="4" w:space="0" w:color="auto"/>
        </w:rPr>
        <w:t>－</w:t>
      </w:r>
      <w:r w:rsidR="00B668E7">
        <w:rPr>
          <w:rFonts w:ascii="ＭＳ ゴシック" w:eastAsia="ＭＳ ゴシック" w:hAnsi="ＭＳ ゴシック" w:cs="MS-Mincho" w:hint="eastAsia"/>
          <w:b/>
          <w:kern w:val="0"/>
          <w:sz w:val="32"/>
          <w:szCs w:val="32"/>
          <w:bdr w:val="single" w:sz="4" w:space="0" w:color="auto"/>
        </w:rPr>
        <w:t>１</w:t>
      </w:r>
      <w:bookmarkStart w:id="0" w:name="_GoBack"/>
      <w:bookmarkEnd w:id="0"/>
    </w:p>
    <w:p w:rsidR="00AC38E9" w:rsidRPr="009433D7" w:rsidRDefault="00655379" w:rsidP="00AC38E9">
      <w:pPr>
        <w:autoSpaceDE w:val="0"/>
        <w:autoSpaceDN w:val="0"/>
        <w:adjustRightInd w:val="0"/>
        <w:jc w:val="left"/>
        <w:rPr>
          <w:rFonts w:ascii="ＭＳ ゴシック" w:eastAsia="ＭＳ ゴシック" w:hAnsi="ＭＳ ゴシック" w:cs="MS-Mincho"/>
          <w:b/>
          <w:kern w:val="0"/>
          <w:sz w:val="24"/>
        </w:rPr>
      </w:pPr>
      <w:r w:rsidRPr="009433D7">
        <w:rPr>
          <w:rFonts w:ascii="ＭＳ ゴシック" w:eastAsia="ＭＳ ゴシック" w:hAnsi="ＭＳ ゴシック" w:cs="MS-Mincho" w:hint="eastAsia"/>
          <w:b/>
          <w:kern w:val="0"/>
          <w:sz w:val="24"/>
        </w:rPr>
        <w:t>※</w:t>
      </w:r>
      <w:r w:rsidR="00AC38E9" w:rsidRPr="009433D7">
        <w:rPr>
          <w:rFonts w:ascii="ＭＳ ゴシック" w:eastAsia="ＭＳ ゴシック" w:hAnsi="ＭＳ ゴシック" w:cs="MS-Mincho" w:hint="eastAsia"/>
          <w:b/>
          <w:kern w:val="0"/>
          <w:sz w:val="24"/>
        </w:rPr>
        <w:t>子ども・子育て支援法（抜粋）</w:t>
      </w:r>
    </w:p>
    <w:p w:rsidR="00655379" w:rsidRPr="009433D7" w:rsidRDefault="00655379" w:rsidP="00AC38E9">
      <w:pPr>
        <w:autoSpaceDE w:val="0"/>
        <w:autoSpaceDN w:val="0"/>
        <w:adjustRightInd w:val="0"/>
        <w:jc w:val="left"/>
        <w:rPr>
          <w:rFonts w:ascii="ＭＳ ゴシック" w:eastAsia="ＭＳ ゴシック" w:hAnsi="ＭＳ ゴシック" w:cs="MS-Mincho"/>
          <w:kern w:val="0"/>
          <w:sz w:val="24"/>
        </w:rPr>
      </w:pPr>
    </w:p>
    <w:p w:rsidR="00AC38E9" w:rsidRPr="009433D7" w:rsidRDefault="00AC38E9" w:rsidP="00AC38E9">
      <w:pPr>
        <w:autoSpaceDE w:val="0"/>
        <w:autoSpaceDN w:val="0"/>
        <w:adjustRightInd w:val="0"/>
        <w:jc w:val="left"/>
        <w:rPr>
          <w:rFonts w:ascii="ＭＳ 明朝" w:hAnsi="ＭＳ 明朝" w:cs="MS-Mincho"/>
          <w:kern w:val="0"/>
          <w:sz w:val="24"/>
        </w:rPr>
      </w:pPr>
      <w:r w:rsidRPr="009433D7">
        <w:rPr>
          <w:rFonts w:ascii="ＭＳ 明朝" w:hAnsi="ＭＳ 明朝" w:cs="MS-Mincho" w:hint="eastAsia"/>
          <w:kern w:val="0"/>
          <w:sz w:val="24"/>
        </w:rPr>
        <w:t>（市町村子ども・子育て支援事業計画）</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第</w:t>
      </w:r>
      <w:r w:rsidR="00565308" w:rsidRPr="009433D7">
        <w:rPr>
          <w:rFonts w:ascii="ＭＳ 明朝" w:hAnsi="ＭＳ 明朝" w:cs="MS-Mincho" w:hint="eastAsia"/>
          <w:kern w:val="0"/>
          <w:sz w:val="24"/>
        </w:rPr>
        <w:t>６１</w:t>
      </w:r>
      <w:r w:rsidRPr="009433D7">
        <w:rPr>
          <w:rFonts w:ascii="ＭＳ 明朝" w:hAnsi="ＭＳ 明朝" w:cs="MS-Mincho" w:hint="eastAsia"/>
          <w:kern w:val="0"/>
          <w:sz w:val="24"/>
        </w:rPr>
        <w:t>条　市町村は、基本指針に即して、</w:t>
      </w:r>
      <w:r w:rsidR="00565308" w:rsidRPr="009433D7">
        <w:rPr>
          <w:rFonts w:ascii="ＭＳ 明朝" w:hAnsi="ＭＳ 明朝" w:cs="MS-Mincho" w:hint="eastAsia"/>
          <w:kern w:val="0"/>
          <w:sz w:val="24"/>
          <w:u w:val="single"/>
        </w:rPr>
        <w:t>５</w:t>
      </w:r>
      <w:r w:rsidRPr="009433D7">
        <w:rPr>
          <w:rFonts w:ascii="ＭＳ 明朝" w:hAnsi="ＭＳ 明朝" w:cs="MS-Mincho" w:hint="eastAsia"/>
          <w:kern w:val="0"/>
          <w:sz w:val="24"/>
          <w:u w:val="single"/>
        </w:rPr>
        <w:t>年を</w:t>
      </w:r>
      <w:r w:rsidR="00565308" w:rsidRPr="009433D7">
        <w:rPr>
          <w:rFonts w:ascii="ＭＳ 明朝" w:hAnsi="ＭＳ 明朝" w:cs="MS-Mincho" w:hint="eastAsia"/>
          <w:kern w:val="0"/>
          <w:sz w:val="24"/>
          <w:u w:val="single"/>
        </w:rPr>
        <w:t>１</w:t>
      </w:r>
      <w:r w:rsidRPr="009433D7">
        <w:rPr>
          <w:rFonts w:ascii="ＭＳ 明朝" w:hAnsi="ＭＳ 明朝" w:cs="MS-Mincho" w:hint="eastAsia"/>
          <w:kern w:val="0"/>
          <w:sz w:val="24"/>
          <w:u w:val="single"/>
        </w:rPr>
        <w:t>期とする教育・保育及び地域子ども・子育て支援事業の提供体制の確保その他この法律に基づく業務の円滑な実施に関する計画</w:t>
      </w:r>
      <w:r w:rsidRPr="009433D7">
        <w:rPr>
          <w:rFonts w:ascii="ＭＳ 明朝" w:hAnsi="ＭＳ 明朝" w:cs="MS-Mincho" w:hint="eastAsia"/>
          <w:kern w:val="0"/>
          <w:sz w:val="24"/>
        </w:rPr>
        <w:t>（以下「市町村子ども・子育て支援事業計画」という。）</w:t>
      </w:r>
      <w:r w:rsidRPr="009433D7">
        <w:rPr>
          <w:rFonts w:ascii="ＭＳ 明朝" w:hAnsi="ＭＳ 明朝" w:cs="MS-Mincho" w:hint="eastAsia"/>
          <w:kern w:val="0"/>
          <w:sz w:val="24"/>
          <w:u w:val="single"/>
        </w:rPr>
        <w:t>を定める</w:t>
      </w:r>
      <w:r w:rsidRPr="009433D7">
        <w:rPr>
          <w:rFonts w:ascii="ＭＳ 明朝" w:hAnsi="ＭＳ 明朝" w:cs="MS-Mincho" w:hint="eastAsia"/>
          <w:kern w:val="0"/>
          <w:sz w:val="24"/>
        </w:rPr>
        <w:t>ものとする。</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２　市町村子ども・子育て支援事業計画においては、次に掲げる事項を定めるものとする。</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一　市町村が、地理的条件、人口、交通事情その他の社会的条件、教育・保育を提供するための施設の整備の状況その他の条件を総合的に勘案して定める区域（以下「教育・保育提供区域」という。）ごとの当該教育・保育提供区域における各年度の特定教育・保育施設に係る必要利用定員総数（第</w:t>
      </w:r>
      <w:r w:rsidR="00565308" w:rsidRPr="009433D7">
        <w:rPr>
          <w:rFonts w:ascii="ＭＳ 明朝" w:hAnsi="ＭＳ 明朝" w:cs="MS-Mincho" w:hint="eastAsia"/>
          <w:kern w:val="0"/>
          <w:sz w:val="24"/>
        </w:rPr>
        <w:t>１９</w:t>
      </w:r>
      <w:r w:rsidRPr="009433D7">
        <w:rPr>
          <w:rFonts w:ascii="ＭＳ 明朝" w:hAnsi="ＭＳ 明朝" w:cs="MS-Mincho" w:hint="eastAsia"/>
          <w:kern w:val="0"/>
          <w:sz w:val="24"/>
        </w:rPr>
        <w:t>条第</w:t>
      </w:r>
      <w:r w:rsidR="00565308" w:rsidRPr="009433D7">
        <w:rPr>
          <w:rFonts w:ascii="ＭＳ 明朝" w:hAnsi="ＭＳ 明朝" w:cs="MS-Mincho" w:hint="eastAsia"/>
          <w:kern w:val="0"/>
          <w:sz w:val="24"/>
        </w:rPr>
        <w:t>１</w:t>
      </w:r>
      <w:r w:rsidRPr="009433D7">
        <w:rPr>
          <w:rFonts w:ascii="ＭＳ 明朝" w:hAnsi="ＭＳ 明朝" w:cs="MS-Mincho" w:hint="eastAsia"/>
          <w:kern w:val="0"/>
          <w:sz w:val="24"/>
        </w:rPr>
        <w:t>項各号に掲げる小学校就学前子どもの区分ごとの必要利用定員総数とする。）、特定地域型保育事業所（事業所内保育事業所における労働者等の監護する小学校就学前子どもに係る部分を除く。）に係る必要利用定員総数（同項第</w:t>
      </w:r>
      <w:r w:rsidR="00565308" w:rsidRPr="009433D7">
        <w:rPr>
          <w:rFonts w:ascii="ＭＳ 明朝" w:hAnsi="ＭＳ 明朝" w:cs="MS-Mincho" w:hint="eastAsia"/>
          <w:kern w:val="0"/>
          <w:sz w:val="24"/>
        </w:rPr>
        <w:t>３</w:t>
      </w:r>
      <w:r w:rsidRPr="009433D7">
        <w:rPr>
          <w:rFonts w:ascii="ＭＳ 明朝" w:hAnsi="ＭＳ 明朝" w:cs="MS-Mincho" w:hint="eastAsia"/>
          <w:kern w:val="0"/>
          <w:sz w:val="24"/>
        </w:rPr>
        <w:t>号に掲げる小学校就学前子どもに係るものに限る。）その他の教育・保育の量の見込み並びに実施しようとする教育・保育の提供体制の確保の内容及びその実施時期</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二　教育・保育提供区域ごとの当該教育・保育提供区域における各年度の地域子ども・子育て支援事業の量の見込み並びに実施しようとする地域子ども・子育て支援事業の提供体制の確保の内容及びその実施時期</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三　子ども・子育て支援給付に係る教育・保育の一体的提供及び当該教育・保育の推進に関する体制の確保の内容</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３　市町村子ども・子育て支援事業計画においては、前項各号に規定するもののほか、次に掲げる事項について定めるよう努めるものとする。</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一　産後の休業及び育児休業後における特定教育・保育施設等の円滑な利用の確保に関する事項</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二　保護を要する子どもの養育環境の整備、児童福祉法第</w:t>
      </w:r>
      <w:r w:rsidR="00565308" w:rsidRPr="009433D7">
        <w:rPr>
          <w:rFonts w:ascii="ＭＳ 明朝" w:hAnsi="ＭＳ 明朝" w:cs="MS-Mincho" w:hint="eastAsia"/>
          <w:kern w:val="0"/>
          <w:sz w:val="24"/>
        </w:rPr>
        <w:t>４</w:t>
      </w:r>
      <w:r w:rsidRPr="009433D7">
        <w:rPr>
          <w:rFonts w:ascii="ＭＳ 明朝" w:hAnsi="ＭＳ 明朝" w:cs="MS-Mincho" w:hint="eastAsia"/>
          <w:kern w:val="0"/>
          <w:sz w:val="24"/>
        </w:rPr>
        <w:t>条第</w:t>
      </w:r>
      <w:r w:rsidR="00565308" w:rsidRPr="009433D7">
        <w:rPr>
          <w:rFonts w:ascii="ＭＳ 明朝" w:hAnsi="ＭＳ 明朝" w:cs="MS-Mincho" w:hint="eastAsia"/>
          <w:kern w:val="0"/>
          <w:sz w:val="24"/>
        </w:rPr>
        <w:t>２</w:t>
      </w:r>
      <w:r w:rsidRPr="009433D7">
        <w:rPr>
          <w:rFonts w:ascii="ＭＳ 明朝" w:hAnsi="ＭＳ 明朝" w:cs="MS-Mincho" w:hint="eastAsia"/>
          <w:kern w:val="0"/>
          <w:sz w:val="24"/>
        </w:rPr>
        <w:t>項に規定する障害児に対して行われる保護並びに日常生活上の指導及び知識技能の付与その他の子どもに関する専門的な知識及び技術を要する支援に関する都道府県が行う施策との連携に関する事項</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三　労働者の職業生活と家庭生活との両立が図られるようにするために必要な雇用環境の整備に関する施策との連携に関する事項</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４　市町村子ども・子育て支援事業計画は、</w:t>
      </w:r>
      <w:r w:rsidRPr="009433D7">
        <w:rPr>
          <w:rFonts w:ascii="ＭＳ 明朝" w:hAnsi="ＭＳ 明朝" w:cs="MS-Mincho" w:hint="eastAsia"/>
          <w:kern w:val="0"/>
          <w:sz w:val="24"/>
          <w:u w:val="single"/>
        </w:rPr>
        <w:t>教育・保育提供区域における子どもの数、子どもの保護者の特定教育・保育施設等及び地域子ども・子育て支援事業の利用に</w:t>
      </w:r>
      <w:r w:rsidRPr="009433D7">
        <w:rPr>
          <w:rFonts w:ascii="ＭＳ 明朝" w:hAnsi="ＭＳ 明朝" w:cs="MS-Mincho" w:hint="eastAsia"/>
          <w:kern w:val="0"/>
          <w:sz w:val="24"/>
          <w:u w:val="single"/>
        </w:rPr>
        <w:lastRenderedPageBreak/>
        <w:t>関する意向その他の事情を勘案して作成</w:t>
      </w:r>
      <w:r w:rsidRPr="009433D7">
        <w:rPr>
          <w:rFonts w:ascii="ＭＳ 明朝" w:hAnsi="ＭＳ 明朝" w:cs="MS-Mincho" w:hint="eastAsia"/>
          <w:kern w:val="0"/>
          <w:sz w:val="24"/>
        </w:rPr>
        <w:t>されなければならない。</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５　市町村は、教育・保育提供区域における子ども及びその保護者の置かれている環境その他の事情を正確に把握した上で、これらの事情を勘案して、市町村子ども・子育て支援事業計画を作成するよう努めるものとする。</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６　市町村子ども・子育て支援事業計画は、社会福祉法第</w:t>
      </w:r>
      <w:r w:rsidR="00565308" w:rsidRPr="009433D7">
        <w:rPr>
          <w:rFonts w:ascii="ＭＳ 明朝" w:hAnsi="ＭＳ 明朝" w:cs="MS-Mincho" w:hint="eastAsia"/>
          <w:kern w:val="0"/>
          <w:sz w:val="24"/>
        </w:rPr>
        <w:t>１０７</w:t>
      </w:r>
      <w:r w:rsidRPr="009433D7">
        <w:rPr>
          <w:rFonts w:ascii="ＭＳ 明朝" w:hAnsi="ＭＳ 明朝" w:cs="MS-Mincho" w:hint="eastAsia"/>
          <w:kern w:val="0"/>
          <w:sz w:val="24"/>
        </w:rPr>
        <w:t>条</w:t>
      </w:r>
      <w:r w:rsidR="00565308" w:rsidRPr="009433D7">
        <w:rPr>
          <w:rFonts w:ascii="ＭＳ 明朝" w:hAnsi="ＭＳ 明朝" w:cs="MS-Mincho" w:hint="eastAsia"/>
          <w:kern w:val="0"/>
          <w:sz w:val="24"/>
        </w:rPr>
        <w:t>第１項</w:t>
      </w:r>
      <w:r w:rsidRPr="009433D7">
        <w:rPr>
          <w:rFonts w:ascii="ＭＳ 明朝" w:hAnsi="ＭＳ 明朝" w:cs="MS-Mincho" w:hint="eastAsia"/>
          <w:kern w:val="0"/>
          <w:sz w:val="24"/>
        </w:rPr>
        <w:t>に規定する市町村地域福祉計画、教育基本法第</w:t>
      </w:r>
      <w:r w:rsidR="00565308" w:rsidRPr="009433D7">
        <w:rPr>
          <w:rFonts w:ascii="ＭＳ 明朝" w:hAnsi="ＭＳ 明朝" w:cs="MS-Mincho" w:hint="eastAsia"/>
          <w:kern w:val="0"/>
          <w:sz w:val="24"/>
        </w:rPr>
        <w:t>１７</w:t>
      </w:r>
      <w:r w:rsidRPr="009433D7">
        <w:rPr>
          <w:rFonts w:ascii="ＭＳ 明朝" w:hAnsi="ＭＳ 明朝" w:cs="MS-Mincho" w:hint="eastAsia"/>
          <w:kern w:val="0"/>
          <w:sz w:val="24"/>
        </w:rPr>
        <w:t>条第</w:t>
      </w:r>
      <w:r w:rsidR="00565308" w:rsidRPr="009433D7">
        <w:rPr>
          <w:rFonts w:ascii="ＭＳ 明朝" w:hAnsi="ＭＳ 明朝" w:cs="MS-Mincho" w:hint="eastAsia"/>
          <w:kern w:val="0"/>
          <w:sz w:val="24"/>
        </w:rPr>
        <w:t>２</w:t>
      </w:r>
      <w:r w:rsidRPr="009433D7">
        <w:rPr>
          <w:rFonts w:ascii="ＭＳ 明朝" w:hAnsi="ＭＳ 明朝" w:cs="MS-Mincho" w:hint="eastAsia"/>
          <w:kern w:val="0"/>
          <w:sz w:val="24"/>
        </w:rPr>
        <w:t>項の規定により市町村が定める教育の振興のための施策に関する基本的な計画（次条第</w:t>
      </w:r>
      <w:r w:rsidR="00565308" w:rsidRPr="009433D7">
        <w:rPr>
          <w:rFonts w:ascii="ＭＳ 明朝" w:hAnsi="ＭＳ 明朝" w:cs="MS-Mincho" w:hint="eastAsia"/>
          <w:kern w:val="0"/>
          <w:sz w:val="24"/>
        </w:rPr>
        <w:t>４</w:t>
      </w:r>
      <w:r w:rsidRPr="009433D7">
        <w:rPr>
          <w:rFonts w:ascii="ＭＳ 明朝" w:hAnsi="ＭＳ 明朝" w:cs="MS-Mincho" w:hint="eastAsia"/>
          <w:kern w:val="0"/>
          <w:sz w:val="24"/>
        </w:rPr>
        <w:t>項において「教育振興基本計画」という。）その他の法律の規定による計画であって子どもの福祉又は教育に関する事項を定めるものと調和が保たれたものでなければならない。</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７　市町村は、市町村</w:t>
      </w:r>
      <w:r w:rsidRPr="009433D7">
        <w:rPr>
          <w:rFonts w:ascii="ＭＳ 明朝" w:hAnsi="ＭＳ 明朝" w:cs="MS-Mincho" w:hint="eastAsia"/>
          <w:kern w:val="0"/>
          <w:sz w:val="24"/>
          <w:u w:val="single"/>
        </w:rPr>
        <w:t>子ども・子育て支援事業計画を定め、又は変更しようとするときは、あらかじめ、第</w:t>
      </w:r>
      <w:r w:rsidR="00565308" w:rsidRPr="009433D7">
        <w:rPr>
          <w:rFonts w:ascii="ＭＳ 明朝" w:hAnsi="ＭＳ 明朝" w:cs="MS-Mincho" w:hint="eastAsia"/>
          <w:kern w:val="0"/>
          <w:sz w:val="24"/>
          <w:u w:val="single"/>
        </w:rPr>
        <w:t>７７</w:t>
      </w:r>
      <w:r w:rsidRPr="009433D7">
        <w:rPr>
          <w:rFonts w:ascii="ＭＳ 明朝" w:hAnsi="ＭＳ 明朝" w:cs="MS-Mincho" w:hint="eastAsia"/>
          <w:kern w:val="0"/>
          <w:sz w:val="24"/>
          <w:u w:val="single"/>
        </w:rPr>
        <w:t>条第</w:t>
      </w:r>
      <w:r w:rsidR="00565308" w:rsidRPr="009433D7">
        <w:rPr>
          <w:rFonts w:ascii="ＭＳ 明朝" w:hAnsi="ＭＳ 明朝" w:cs="MS-Mincho" w:hint="eastAsia"/>
          <w:kern w:val="0"/>
          <w:sz w:val="24"/>
          <w:u w:val="single"/>
        </w:rPr>
        <w:t>１</w:t>
      </w:r>
      <w:r w:rsidRPr="009433D7">
        <w:rPr>
          <w:rFonts w:ascii="ＭＳ 明朝" w:hAnsi="ＭＳ 明朝" w:cs="MS-Mincho" w:hint="eastAsia"/>
          <w:kern w:val="0"/>
          <w:sz w:val="24"/>
          <w:u w:val="single"/>
        </w:rPr>
        <w:t>項の審議会その他の合議制の機関を設置している場合にあってはその意見</w:t>
      </w:r>
      <w:r w:rsidRPr="009433D7">
        <w:rPr>
          <w:rFonts w:ascii="ＭＳ 明朝" w:hAnsi="ＭＳ 明朝" w:cs="MS-Mincho" w:hint="eastAsia"/>
          <w:kern w:val="0"/>
          <w:sz w:val="24"/>
        </w:rPr>
        <w:t>を、その他の場合にあっては子どもの保護者その他子ども・子育て支援に係る当事者の意見を</w:t>
      </w:r>
      <w:r w:rsidRPr="009433D7">
        <w:rPr>
          <w:rFonts w:ascii="ＭＳ 明朝" w:hAnsi="ＭＳ 明朝" w:cs="MS-Mincho" w:hint="eastAsia"/>
          <w:kern w:val="0"/>
          <w:sz w:val="24"/>
          <w:u w:val="single"/>
        </w:rPr>
        <w:t>聴かなければならない。</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８　市町村は、市町村子ども・子育て支援事業計画を定め、又は変更しようとするときは、あらかじめ、インターネットの利用その他の内閣府令で定める方法により広く住民の意見を求めることその他の住民の意見を反映させるために必要な措置を講ずるよう努めるものとする。</w:t>
      </w:r>
    </w:p>
    <w:p w:rsidR="00AC38E9" w:rsidRPr="009433D7" w:rsidRDefault="00AC38E9"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９　市町村は、市町村子ども・子育て支援事業計画を定め、又は変更しようとするときは、あらかじめ、都道府県に協議しなければならない。</w:t>
      </w:r>
    </w:p>
    <w:p w:rsidR="00A529E3" w:rsidRPr="009433D7" w:rsidRDefault="00565308" w:rsidP="00565308">
      <w:pPr>
        <w:autoSpaceDE w:val="0"/>
        <w:autoSpaceDN w:val="0"/>
        <w:adjustRightInd w:val="0"/>
        <w:ind w:left="254" w:hangingChars="100" w:hanging="254"/>
        <w:jc w:val="left"/>
        <w:rPr>
          <w:rFonts w:ascii="ＭＳ 明朝" w:hAnsi="ＭＳ 明朝" w:cs="MS-Mincho"/>
          <w:kern w:val="0"/>
          <w:sz w:val="24"/>
        </w:rPr>
      </w:pPr>
      <w:r w:rsidRPr="009433D7">
        <w:rPr>
          <w:rFonts w:ascii="ＭＳ 明朝" w:hAnsi="ＭＳ 明朝" w:cs="MS-Mincho" w:hint="eastAsia"/>
          <w:kern w:val="0"/>
          <w:sz w:val="24"/>
        </w:rPr>
        <w:t xml:space="preserve">１０　</w:t>
      </w:r>
      <w:r w:rsidR="00AC38E9" w:rsidRPr="009433D7">
        <w:rPr>
          <w:rFonts w:ascii="ＭＳ 明朝" w:hAnsi="ＭＳ 明朝" w:cs="MS-Mincho" w:hint="eastAsia"/>
          <w:kern w:val="0"/>
          <w:sz w:val="24"/>
        </w:rPr>
        <w:t>市町村は、市町村子ども・子育て支援事業計画を定め、又は変更したときは、遅滞なく、これを都道府県知事に提出しなければならない。</w:t>
      </w:r>
    </w:p>
    <w:p w:rsidR="00565308" w:rsidRPr="009433D7" w:rsidRDefault="00565308" w:rsidP="00565308">
      <w:pPr>
        <w:autoSpaceDE w:val="0"/>
        <w:autoSpaceDN w:val="0"/>
        <w:adjustRightInd w:val="0"/>
        <w:ind w:left="254" w:hangingChars="100" w:hanging="254"/>
        <w:jc w:val="left"/>
        <w:rPr>
          <w:rFonts w:ascii="ＭＳ 明朝" w:hAnsi="ＭＳ 明朝"/>
          <w:sz w:val="24"/>
        </w:rPr>
      </w:pPr>
    </w:p>
    <w:p w:rsidR="00565308" w:rsidRPr="009433D7" w:rsidRDefault="00565308"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（市町村等における合議制の機関）</w:t>
      </w:r>
    </w:p>
    <w:p w:rsidR="00565308" w:rsidRPr="009433D7" w:rsidRDefault="00565308"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第７７条　市町村は、条例で定めるところにより、次に掲げる事務を処理するため、審議会その他の合議制の機関を置くよう努めるものとする。</w:t>
      </w:r>
    </w:p>
    <w:p w:rsidR="00565308" w:rsidRPr="009433D7" w:rsidRDefault="00565308"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一　特定教育・保育施設の利用定員の設定に関し、第３１条第２項に規定する事項を処理すること。</w:t>
      </w:r>
    </w:p>
    <w:p w:rsidR="00565308" w:rsidRPr="009433D7" w:rsidRDefault="00565308"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 xml:space="preserve">二　</w:t>
      </w:r>
      <w:r w:rsidR="004D30EF" w:rsidRPr="009433D7">
        <w:rPr>
          <w:rFonts w:ascii="ＭＳ 明朝" w:hAnsi="ＭＳ 明朝" w:hint="eastAsia"/>
          <w:sz w:val="24"/>
        </w:rPr>
        <w:t>特定地域型保育事業の利用定員の設定に関し、第４３条第３項に規定する事項を処理すること。</w:t>
      </w:r>
    </w:p>
    <w:p w:rsidR="00565308" w:rsidRPr="009433D7" w:rsidRDefault="004D30EF"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 xml:space="preserve">三　</w:t>
      </w:r>
      <w:r w:rsidRPr="009433D7">
        <w:rPr>
          <w:rFonts w:ascii="ＭＳ 明朝" w:hAnsi="ＭＳ 明朝" w:hint="eastAsia"/>
          <w:sz w:val="24"/>
          <w:u w:val="single"/>
        </w:rPr>
        <w:t>市町村子ども・子育て支援事業計画に関し、第６１条第７項に規定する事項を処理すること。</w:t>
      </w:r>
    </w:p>
    <w:p w:rsidR="004D30EF" w:rsidRPr="009433D7" w:rsidRDefault="004D30EF"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四　当該市町村における子ども・子育て支援に関する施策の総合的かつ計画的な推進に関し必要な事項及び当該施策の実施状況を調査審議すること。</w:t>
      </w:r>
    </w:p>
    <w:p w:rsidR="00565308" w:rsidRPr="009433D7" w:rsidRDefault="004D30EF" w:rsidP="00565308">
      <w:pPr>
        <w:autoSpaceDE w:val="0"/>
        <w:autoSpaceDN w:val="0"/>
        <w:adjustRightInd w:val="0"/>
        <w:ind w:left="254" w:hangingChars="100" w:hanging="254"/>
        <w:jc w:val="left"/>
        <w:rPr>
          <w:rFonts w:ascii="ＭＳ 明朝" w:hAnsi="ＭＳ 明朝"/>
          <w:sz w:val="24"/>
        </w:rPr>
      </w:pPr>
      <w:r w:rsidRPr="009433D7">
        <w:rPr>
          <w:rFonts w:ascii="ＭＳ 明朝" w:hAnsi="ＭＳ 明朝" w:hint="eastAsia"/>
          <w:sz w:val="24"/>
        </w:rPr>
        <w:t>２　前項の合議制の機関は、同項各号に掲げる事務を処理するに当たっては、地域の子ども及び子育て家庭の実情を十分に踏まえなければならない。</w:t>
      </w:r>
    </w:p>
    <w:sectPr w:rsidR="00565308" w:rsidRPr="009433D7" w:rsidSect="004D30EF">
      <w:footerReference w:type="default" r:id="rId7"/>
      <w:pgSz w:w="11906" w:h="16838" w:code="9"/>
      <w:pgMar w:top="1134" w:right="1134" w:bottom="1134" w:left="1134" w:header="720" w:footer="720" w:gutter="0"/>
      <w:cols w:space="425"/>
      <w:noEndnote/>
      <w:docGrid w:type="linesAndChars" w:linePitch="383" w:charSpace="27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1F" w:rsidRDefault="0075471F" w:rsidP="00D41A0B">
      <w:r>
        <w:separator/>
      </w:r>
    </w:p>
  </w:endnote>
  <w:endnote w:type="continuationSeparator" w:id="0">
    <w:p w:rsidR="0075471F" w:rsidRDefault="0075471F" w:rsidP="00D4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994005"/>
      <w:docPartObj>
        <w:docPartGallery w:val="Page Numbers (Bottom of Page)"/>
        <w:docPartUnique/>
      </w:docPartObj>
    </w:sdtPr>
    <w:sdtEndPr>
      <w:rPr>
        <w:rFonts w:asciiTheme="majorEastAsia" w:eastAsiaTheme="majorEastAsia" w:hAnsiTheme="majorEastAsia"/>
      </w:rPr>
    </w:sdtEndPr>
    <w:sdtContent>
      <w:p w:rsidR="00B668E7" w:rsidRPr="00B668E7" w:rsidRDefault="00B668E7">
        <w:pPr>
          <w:pStyle w:val="a5"/>
          <w:jc w:val="center"/>
          <w:rPr>
            <w:rFonts w:asciiTheme="majorEastAsia" w:eastAsiaTheme="majorEastAsia" w:hAnsiTheme="majorEastAsia"/>
          </w:rPr>
        </w:pPr>
        <w:r w:rsidRPr="00B668E7">
          <w:rPr>
            <w:rFonts w:asciiTheme="majorEastAsia" w:eastAsiaTheme="majorEastAsia" w:hAnsiTheme="majorEastAsia"/>
          </w:rPr>
          <w:fldChar w:fldCharType="begin"/>
        </w:r>
        <w:r w:rsidRPr="00B668E7">
          <w:rPr>
            <w:rFonts w:asciiTheme="majorEastAsia" w:eastAsiaTheme="majorEastAsia" w:hAnsiTheme="majorEastAsia"/>
          </w:rPr>
          <w:instrText>PAGE   \* MERGEFORMAT</w:instrText>
        </w:r>
        <w:r w:rsidRPr="00B668E7">
          <w:rPr>
            <w:rFonts w:asciiTheme="majorEastAsia" w:eastAsiaTheme="majorEastAsia" w:hAnsiTheme="majorEastAsia"/>
          </w:rPr>
          <w:fldChar w:fldCharType="separate"/>
        </w:r>
        <w:r w:rsidRPr="00B668E7">
          <w:rPr>
            <w:rFonts w:asciiTheme="majorEastAsia" w:eastAsiaTheme="majorEastAsia" w:hAnsiTheme="majorEastAsia"/>
            <w:noProof/>
            <w:lang w:val="ja-JP"/>
          </w:rPr>
          <w:t>1</w:t>
        </w:r>
        <w:r w:rsidRPr="00B668E7">
          <w:rPr>
            <w:rFonts w:asciiTheme="majorEastAsia" w:eastAsiaTheme="majorEastAsia" w:hAnsiTheme="majorEastAsia"/>
          </w:rPr>
          <w:fldChar w:fldCharType="end"/>
        </w:r>
      </w:p>
    </w:sdtContent>
  </w:sdt>
  <w:p w:rsidR="00B668E7" w:rsidRDefault="00B668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1F" w:rsidRDefault="0075471F" w:rsidP="00D41A0B">
      <w:r>
        <w:separator/>
      </w:r>
    </w:p>
  </w:footnote>
  <w:footnote w:type="continuationSeparator" w:id="0">
    <w:p w:rsidR="0075471F" w:rsidRDefault="0075471F" w:rsidP="00D41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E9"/>
    <w:rsid w:val="00106093"/>
    <w:rsid w:val="001809A3"/>
    <w:rsid w:val="00243773"/>
    <w:rsid w:val="002F04B4"/>
    <w:rsid w:val="00430BD2"/>
    <w:rsid w:val="004D30EF"/>
    <w:rsid w:val="004F055E"/>
    <w:rsid w:val="00565308"/>
    <w:rsid w:val="005B3DBA"/>
    <w:rsid w:val="00655379"/>
    <w:rsid w:val="007245FC"/>
    <w:rsid w:val="0075471F"/>
    <w:rsid w:val="008F6C2B"/>
    <w:rsid w:val="009433D7"/>
    <w:rsid w:val="009964F0"/>
    <w:rsid w:val="00996CCB"/>
    <w:rsid w:val="00A529E3"/>
    <w:rsid w:val="00AC38E9"/>
    <w:rsid w:val="00B668E7"/>
    <w:rsid w:val="00D41A0B"/>
    <w:rsid w:val="00FB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A0B"/>
    <w:pPr>
      <w:tabs>
        <w:tab w:val="center" w:pos="4252"/>
        <w:tab w:val="right" w:pos="8504"/>
      </w:tabs>
      <w:snapToGrid w:val="0"/>
    </w:pPr>
  </w:style>
  <w:style w:type="character" w:customStyle="1" w:styleId="a4">
    <w:name w:val="ヘッダー (文字)"/>
    <w:basedOn w:val="a0"/>
    <w:link w:val="a3"/>
    <w:rsid w:val="00D41A0B"/>
    <w:rPr>
      <w:kern w:val="2"/>
      <w:sz w:val="21"/>
      <w:szCs w:val="24"/>
    </w:rPr>
  </w:style>
  <w:style w:type="paragraph" w:styleId="a5">
    <w:name w:val="footer"/>
    <w:basedOn w:val="a"/>
    <w:link w:val="a6"/>
    <w:uiPriority w:val="99"/>
    <w:rsid w:val="00D41A0B"/>
    <w:pPr>
      <w:tabs>
        <w:tab w:val="center" w:pos="4252"/>
        <w:tab w:val="right" w:pos="8504"/>
      </w:tabs>
      <w:snapToGrid w:val="0"/>
    </w:pPr>
  </w:style>
  <w:style w:type="character" w:customStyle="1" w:styleId="a6">
    <w:name w:val="フッター (文字)"/>
    <w:basedOn w:val="a0"/>
    <w:link w:val="a5"/>
    <w:uiPriority w:val="99"/>
    <w:rsid w:val="00D41A0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1A0B"/>
    <w:pPr>
      <w:tabs>
        <w:tab w:val="center" w:pos="4252"/>
        <w:tab w:val="right" w:pos="8504"/>
      </w:tabs>
      <w:snapToGrid w:val="0"/>
    </w:pPr>
  </w:style>
  <w:style w:type="character" w:customStyle="1" w:styleId="a4">
    <w:name w:val="ヘッダー (文字)"/>
    <w:basedOn w:val="a0"/>
    <w:link w:val="a3"/>
    <w:rsid w:val="00D41A0B"/>
    <w:rPr>
      <w:kern w:val="2"/>
      <w:sz w:val="21"/>
      <w:szCs w:val="24"/>
    </w:rPr>
  </w:style>
  <w:style w:type="paragraph" w:styleId="a5">
    <w:name w:val="footer"/>
    <w:basedOn w:val="a"/>
    <w:link w:val="a6"/>
    <w:uiPriority w:val="99"/>
    <w:rsid w:val="00D41A0B"/>
    <w:pPr>
      <w:tabs>
        <w:tab w:val="center" w:pos="4252"/>
        <w:tab w:val="right" w:pos="8504"/>
      </w:tabs>
      <w:snapToGrid w:val="0"/>
    </w:pPr>
  </w:style>
  <w:style w:type="character" w:customStyle="1" w:styleId="a6">
    <w:name w:val="フッター (文字)"/>
    <w:basedOn w:val="a0"/>
    <w:link w:val="a5"/>
    <w:uiPriority w:val="99"/>
    <w:rsid w:val="00D41A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2046</Words>
  <Characters>50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子ども・子育て支援法（抜粋）</vt:lpstr>
      <vt:lpstr>子ども・子育て支援法（抜粋）</vt:lpstr>
    </vt:vector>
  </TitlesOfParts>
  <Company>前橋市</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子ども・子育て支援法（抜粋）</dc:title>
  <dc:creator>003pc165lg</dc:creator>
  <cp:lastModifiedBy>201701</cp:lastModifiedBy>
  <cp:revision>3</cp:revision>
  <cp:lastPrinted>2018-10-05T06:57:00Z</cp:lastPrinted>
  <dcterms:created xsi:type="dcterms:W3CDTF">2018-10-05T00:45:00Z</dcterms:created>
  <dcterms:modified xsi:type="dcterms:W3CDTF">2018-10-05T06:57:00Z</dcterms:modified>
</cp:coreProperties>
</file>